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F7667" w14:textId="4FC38B7D" w:rsidR="00703E44" w:rsidRDefault="00703E44" w:rsidP="00703E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#147E</w:t>
      </w:r>
      <w:r>
        <w:rPr>
          <w:rFonts w:cs="Arial"/>
          <w:b/>
          <w:noProof/>
          <w:sz w:val="24"/>
        </w:rPr>
        <w:tab/>
        <w:t>S2-2107</w:t>
      </w:r>
      <w:r w:rsidR="007E53BB">
        <w:rPr>
          <w:rFonts w:cs="Arial"/>
          <w:b/>
          <w:noProof/>
          <w:sz w:val="24"/>
        </w:rPr>
        <w:t>768</w:t>
      </w:r>
    </w:p>
    <w:p w14:paraId="3D2E1859" w14:textId="77777777" w:rsidR="00703E44" w:rsidRDefault="00703E44" w:rsidP="00703E44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October 18 – 22, 2021, 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</w:p>
    <w:p w14:paraId="2C68DA63" w14:textId="77777777" w:rsidR="00703E44" w:rsidRDefault="00703E44" w:rsidP="00703E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D8EC974" w14:textId="5C02B756" w:rsidR="00703E44" w:rsidRDefault="00703E44" w:rsidP="00703E44">
      <w:pPr>
        <w:ind w:left="2127" w:hanging="2127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F22ED">
        <w:rPr>
          <w:rFonts w:ascii="Arial" w:hAnsi="Arial" w:cs="Arial"/>
          <w:b/>
        </w:rPr>
        <w:t>Vodafone</w:t>
      </w:r>
      <w:r>
        <w:rPr>
          <w:rFonts w:ascii="Arial" w:hAnsi="Arial" w:cs="Arial"/>
          <w:b/>
        </w:rPr>
        <w:t xml:space="preserve"> </w:t>
      </w:r>
    </w:p>
    <w:p w14:paraId="79D33789" w14:textId="112E832C" w:rsidR="00703E44" w:rsidRDefault="00703E44" w:rsidP="00703E4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EAF">
        <w:rPr>
          <w:rFonts w:ascii="Arial" w:hAnsi="Arial" w:cs="Arial"/>
          <w:b/>
        </w:rPr>
        <w:t>Discussion related to i</w:t>
      </w:r>
      <w:r w:rsidR="00AF22ED">
        <w:rPr>
          <w:rFonts w:ascii="Arial" w:hAnsi="Arial" w:cs="Arial"/>
          <w:b/>
        </w:rPr>
        <w:t>ncoming LS on Paging Early Indication</w:t>
      </w:r>
      <w:r w:rsidR="00973EAF">
        <w:rPr>
          <w:rFonts w:ascii="Arial" w:hAnsi="Arial" w:cs="Arial"/>
          <w:b/>
        </w:rPr>
        <w:t xml:space="preserve"> (S2-2106999)</w:t>
      </w:r>
    </w:p>
    <w:p w14:paraId="37067F27" w14:textId="77777777" w:rsidR="00703E44" w:rsidRDefault="00703E44" w:rsidP="00703E4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F48C2BA" w14:textId="66EF41EC" w:rsidR="00703E44" w:rsidRDefault="00703E44" w:rsidP="00703E4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AF22ED">
        <w:rPr>
          <w:rFonts w:ascii="Arial" w:hAnsi="Arial" w:cs="Arial"/>
          <w:b/>
        </w:rPr>
        <w:t>28</w:t>
      </w:r>
    </w:p>
    <w:p w14:paraId="75631EF3" w14:textId="3B5628A7" w:rsidR="00703E44" w:rsidRDefault="00703E44" w:rsidP="00703E4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proofErr w:type="gramStart"/>
      <w:r>
        <w:rPr>
          <w:rFonts w:ascii="Arial" w:hAnsi="Arial" w:cs="Arial"/>
          <w:b/>
        </w:rPr>
        <w:tab/>
      </w:r>
      <w:r w:rsidR="00AF22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Rel</w:t>
      </w:r>
      <w:proofErr w:type="gramEnd"/>
      <w:r>
        <w:rPr>
          <w:rFonts w:ascii="Arial" w:hAnsi="Arial" w:cs="Arial"/>
          <w:b/>
        </w:rPr>
        <w:t>-17</w:t>
      </w:r>
    </w:p>
    <w:p w14:paraId="76A7581F" w14:textId="25655662" w:rsidR="00703E44" w:rsidRDefault="00703E44" w:rsidP="00703E4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discusses</w:t>
      </w:r>
      <w:r w:rsidR="00AF22ED">
        <w:rPr>
          <w:rFonts w:ascii="Arial" w:hAnsi="Arial" w:cs="Arial"/>
          <w:i/>
        </w:rPr>
        <w:t xml:space="preserve"> </w:t>
      </w:r>
      <w:r w:rsidR="00E349DE">
        <w:rPr>
          <w:rFonts w:ascii="Arial" w:hAnsi="Arial" w:cs="Arial"/>
          <w:i/>
        </w:rPr>
        <w:t xml:space="preserve">some SA2 aspects related to </w:t>
      </w:r>
      <w:r w:rsidR="00383BD4">
        <w:rPr>
          <w:rFonts w:ascii="Arial" w:hAnsi="Arial" w:cs="Arial"/>
          <w:i/>
        </w:rPr>
        <w:t>Paging Early Indication</w:t>
      </w:r>
      <w:r>
        <w:rPr>
          <w:rFonts w:ascii="Arial" w:hAnsi="Arial" w:cs="Arial"/>
          <w:i/>
        </w:rPr>
        <w:t xml:space="preserve">. </w:t>
      </w:r>
    </w:p>
    <w:p w14:paraId="0CEC833E" w14:textId="77777777" w:rsidR="00703E44" w:rsidRDefault="00703E44" w:rsidP="00703E44">
      <w:pPr>
        <w:pStyle w:val="Heading1"/>
        <w:rPr>
          <w:rFonts w:eastAsia="SimSun"/>
        </w:rPr>
      </w:pPr>
      <w:r>
        <w:rPr>
          <w:rFonts w:eastAsia="SimSun"/>
        </w:rPr>
        <w:t xml:space="preserve">1. </w:t>
      </w:r>
      <w:r>
        <w:rPr>
          <w:rFonts w:eastAsia="SimSun"/>
        </w:rPr>
        <w:tab/>
        <w:t>Introduction</w:t>
      </w:r>
    </w:p>
    <w:p w14:paraId="668AB7EE" w14:textId="165E0A3F" w:rsidR="00703E44" w:rsidRPr="00D13626" w:rsidRDefault="00D13626">
      <w:pPr>
        <w:rPr>
          <w:rFonts w:ascii="Times New Roman" w:hAnsi="Times New Roman" w:cs="Times New Roman"/>
        </w:rPr>
      </w:pPr>
      <w:r>
        <w:t xml:space="preserve">SA2 has received the LS </w:t>
      </w:r>
      <w:r w:rsidRPr="00D13626">
        <w:rPr>
          <w:rFonts w:ascii="Times New Roman" w:hAnsi="Times New Roman" w:cs="Times New Roman"/>
        </w:rPr>
        <w:t>on Paging Subgrouping</w:t>
      </w:r>
      <w:r>
        <w:t xml:space="preserve"> from RAN 2 </w:t>
      </w:r>
      <w:r w:rsidRPr="00D13626">
        <w:rPr>
          <w:rFonts w:ascii="Times New Roman" w:hAnsi="Times New Roman" w:cs="Times New Roman"/>
        </w:rPr>
        <w:t xml:space="preserve">in </w:t>
      </w:r>
      <w:r w:rsidRPr="00D13626">
        <w:rPr>
          <w:rFonts w:ascii="Times New Roman" w:hAnsi="Times New Roman" w:cs="Times New Roman"/>
        </w:rPr>
        <w:t>S2-2106999/R2-2106552</w:t>
      </w:r>
      <w:r w:rsidR="00564A04">
        <w:rPr>
          <w:rFonts w:ascii="Times New Roman" w:hAnsi="Times New Roman" w:cs="Times New Roman"/>
        </w:rPr>
        <w:t xml:space="preserve">. This relates to the “Paging Early Indication” work done in RAN 1 and the whole topic has many similarities to the (Group) WUS work that was done for </w:t>
      </w:r>
      <w:r w:rsidR="00963F8A">
        <w:rPr>
          <w:rFonts w:ascii="Times New Roman" w:hAnsi="Times New Roman" w:cs="Times New Roman"/>
        </w:rPr>
        <w:t xml:space="preserve">the IoT parts of </w:t>
      </w:r>
      <w:r w:rsidR="00564A04">
        <w:rPr>
          <w:rFonts w:ascii="Times New Roman" w:hAnsi="Times New Roman" w:cs="Times New Roman"/>
        </w:rPr>
        <w:t xml:space="preserve">LTE </w:t>
      </w:r>
      <w:r w:rsidR="00963F8A">
        <w:rPr>
          <w:rFonts w:ascii="Times New Roman" w:hAnsi="Times New Roman" w:cs="Times New Roman"/>
        </w:rPr>
        <w:t>in earlier releases.</w:t>
      </w:r>
    </w:p>
    <w:p w14:paraId="26CD6232" w14:textId="06F91ECA" w:rsidR="00703E44" w:rsidRDefault="00963F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document raises some aspects that SA2 should consider in their discussions.</w:t>
      </w:r>
    </w:p>
    <w:p w14:paraId="1E1EE2D5" w14:textId="21F0C8BE" w:rsidR="00963F8A" w:rsidRDefault="00963F8A">
      <w:pPr>
        <w:rPr>
          <w:rFonts w:ascii="Times New Roman" w:hAnsi="Times New Roman" w:cs="Times New Roman"/>
        </w:rPr>
      </w:pPr>
    </w:p>
    <w:p w14:paraId="2D51DFD1" w14:textId="26D6D9D1" w:rsidR="00963F8A" w:rsidRDefault="008B4DDA" w:rsidP="00B20215">
      <w:pPr>
        <w:pStyle w:val="Heading1"/>
      </w:pPr>
      <w:r>
        <w:t>2</w:t>
      </w:r>
      <w:r>
        <w:tab/>
      </w:r>
      <w:r w:rsidRPr="001D2925">
        <w:t>Aspects to consider</w:t>
      </w:r>
    </w:p>
    <w:p w14:paraId="4E8BB8BD" w14:textId="18D7EB7F" w:rsidR="00DE21D2" w:rsidRDefault="00DB248B">
      <w:pPr>
        <w:rPr>
          <w:rFonts w:ascii="Times New Roman" w:hAnsi="Times New Roman" w:cs="Times New Roman"/>
        </w:rPr>
      </w:pPr>
      <w:r w:rsidRPr="00CF76EA">
        <w:rPr>
          <w:rFonts w:ascii="Times New Roman" w:hAnsi="Times New Roman" w:cs="Times New Roman"/>
          <w:b/>
          <w:bCs/>
        </w:rPr>
        <w:t>2.</w:t>
      </w:r>
      <w:r w:rsidR="00CF76EA" w:rsidRPr="00CF76EA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</w:rPr>
        <w:tab/>
      </w:r>
      <w:r w:rsidR="00DE21D2" w:rsidRPr="001D2925">
        <w:rPr>
          <w:rFonts w:ascii="Times New Roman" w:hAnsi="Times New Roman" w:cs="Times New Roman"/>
          <w:b/>
          <w:bCs/>
        </w:rPr>
        <w:t>Smartphone vs stationary IoT device</w:t>
      </w:r>
    </w:p>
    <w:p w14:paraId="157E499F" w14:textId="77777777" w:rsidR="00204C03" w:rsidRDefault="00973E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PEI </w:t>
      </w:r>
      <w:r w:rsidR="008C6365">
        <w:rPr>
          <w:rFonts w:ascii="Times New Roman" w:hAnsi="Times New Roman" w:cs="Times New Roman"/>
        </w:rPr>
        <w:t>seems to be intended for smartphone use instead of IoT device use. A majority (but by absolutely no means, all) LTE IoT devices might be low mobility devices</w:t>
      </w:r>
      <w:r w:rsidR="00094E0C">
        <w:rPr>
          <w:rFonts w:ascii="Times New Roman" w:hAnsi="Times New Roman" w:cs="Times New Roman"/>
        </w:rPr>
        <w:t xml:space="preserve">. However, smartphones very often move between cells. </w:t>
      </w:r>
    </w:p>
    <w:p w14:paraId="503F434D" w14:textId="672F1D27" w:rsidR="00AC65A6" w:rsidRDefault="00C805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VoNR</w:t>
      </w:r>
      <w:proofErr w:type="spellEnd"/>
      <w:r>
        <w:rPr>
          <w:rFonts w:ascii="Times New Roman" w:hAnsi="Times New Roman" w:cs="Times New Roman"/>
        </w:rPr>
        <w:t xml:space="preserve"> (and other services), the latency involved in receiving paging is important – and hence the AMF is likely to use </w:t>
      </w:r>
      <w:r w:rsidR="00710EA2">
        <w:rPr>
          <w:rFonts w:ascii="Times New Roman" w:hAnsi="Times New Roman" w:cs="Times New Roman"/>
        </w:rPr>
        <w:t xml:space="preserve">“paging in all cells in the Tracking Area List” for the first page for the UE. </w:t>
      </w:r>
    </w:p>
    <w:p w14:paraId="32A97755" w14:textId="054637EE" w:rsidR="00DE21D2" w:rsidRDefault="00AC65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paging across </w:t>
      </w:r>
      <w:proofErr w:type="gramStart"/>
      <w:r>
        <w:rPr>
          <w:rFonts w:ascii="Times New Roman" w:hAnsi="Times New Roman" w:cs="Times New Roman"/>
        </w:rPr>
        <w:t>a large number of</w:t>
      </w:r>
      <w:proofErr w:type="gramEnd"/>
      <w:r>
        <w:rPr>
          <w:rFonts w:ascii="Times New Roman" w:hAnsi="Times New Roman" w:cs="Times New Roman"/>
        </w:rPr>
        <w:t xml:space="preserve"> cells can have a dramatic effect on </w:t>
      </w:r>
      <w:r w:rsidR="00DC275A">
        <w:rPr>
          <w:rFonts w:ascii="Times New Roman" w:hAnsi="Times New Roman" w:cs="Times New Roman"/>
        </w:rPr>
        <w:t xml:space="preserve">how PEI will </w:t>
      </w:r>
      <w:r w:rsidR="00204C03">
        <w:rPr>
          <w:rFonts w:ascii="Times New Roman" w:hAnsi="Times New Roman" w:cs="Times New Roman"/>
        </w:rPr>
        <w:t>de</w:t>
      </w:r>
      <w:r w:rsidR="00DC275A">
        <w:rPr>
          <w:rFonts w:ascii="Times New Roman" w:hAnsi="Times New Roman" w:cs="Times New Roman"/>
        </w:rPr>
        <w:t xml:space="preserve">crease or </w:t>
      </w:r>
      <w:r w:rsidR="00E40100">
        <w:rPr>
          <w:rFonts w:ascii="Times New Roman" w:hAnsi="Times New Roman" w:cs="Times New Roman"/>
        </w:rPr>
        <w:t>in</w:t>
      </w:r>
      <w:r w:rsidR="00DC275A">
        <w:rPr>
          <w:rFonts w:ascii="Times New Roman" w:hAnsi="Times New Roman" w:cs="Times New Roman"/>
        </w:rPr>
        <w:t>crease the battery life of OTHER UEs.</w:t>
      </w:r>
      <w:r w:rsidR="008C6365">
        <w:rPr>
          <w:rFonts w:ascii="Times New Roman" w:hAnsi="Times New Roman" w:cs="Times New Roman"/>
        </w:rPr>
        <w:t xml:space="preserve"> </w:t>
      </w:r>
    </w:p>
    <w:p w14:paraId="02EE7CA5" w14:textId="0D9CDBAB" w:rsidR="00D62F97" w:rsidRDefault="00F903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WUS, we restricted </w:t>
      </w:r>
      <w:r w:rsidR="00D62F97">
        <w:rPr>
          <w:rFonts w:ascii="Times New Roman" w:hAnsi="Times New Roman" w:cs="Times New Roman"/>
        </w:rPr>
        <w:t>its use to the last used cell.</w:t>
      </w:r>
      <w:r w:rsidR="00E40100">
        <w:rPr>
          <w:rFonts w:ascii="Times New Roman" w:hAnsi="Times New Roman" w:cs="Times New Roman"/>
        </w:rPr>
        <w:t xml:space="preserve"> </w:t>
      </w:r>
      <w:r w:rsidR="00D62F97">
        <w:rPr>
          <w:rFonts w:ascii="Times New Roman" w:hAnsi="Times New Roman" w:cs="Times New Roman"/>
        </w:rPr>
        <w:t>Lack of time prevented this restriction being re-examined for Group WUS.</w:t>
      </w:r>
    </w:p>
    <w:p w14:paraId="55A3DC3A" w14:textId="192AC646" w:rsidR="00BE31A3" w:rsidRPr="00BE31A3" w:rsidRDefault="00BE31A3" w:rsidP="00BE31A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Pr="00BE31A3">
        <w:rPr>
          <w:rFonts w:ascii="Times New Roman" w:hAnsi="Times New Roman" w:cs="Times New Roman"/>
          <w:b/>
          <w:bCs/>
        </w:rPr>
        <w:t>At least for the AS UE-ID based subgroups, the restriction on only using PEI in the “last used cell” should be retained</w:t>
      </w:r>
      <w:r>
        <w:rPr>
          <w:rFonts w:ascii="Times New Roman" w:hAnsi="Times New Roman" w:cs="Times New Roman"/>
          <w:b/>
          <w:bCs/>
        </w:rPr>
        <w:t>.</w:t>
      </w:r>
    </w:p>
    <w:p w14:paraId="0192434D" w14:textId="77777777" w:rsidR="00BE31A3" w:rsidRDefault="00BE31A3">
      <w:pPr>
        <w:rPr>
          <w:rFonts w:ascii="Times New Roman" w:hAnsi="Times New Roman" w:cs="Times New Roman"/>
        </w:rPr>
      </w:pPr>
    </w:p>
    <w:p w14:paraId="2F7EE668" w14:textId="728C9C48" w:rsidR="00963F8A" w:rsidRPr="00964A81" w:rsidRDefault="00964A81">
      <w:pPr>
        <w:rPr>
          <w:rFonts w:ascii="Times New Roman" w:hAnsi="Times New Roman" w:cs="Times New Roman"/>
          <w:b/>
          <w:bCs/>
        </w:rPr>
      </w:pPr>
      <w:r w:rsidRPr="00964A81">
        <w:rPr>
          <w:rFonts w:ascii="Times New Roman" w:hAnsi="Times New Roman" w:cs="Times New Roman"/>
          <w:b/>
          <w:bCs/>
        </w:rPr>
        <w:t>2.</w:t>
      </w:r>
      <w:r w:rsidR="00517941">
        <w:rPr>
          <w:rFonts w:ascii="Times New Roman" w:hAnsi="Times New Roman" w:cs="Times New Roman"/>
          <w:b/>
          <w:bCs/>
        </w:rPr>
        <w:t>2</w:t>
      </w:r>
      <w:r w:rsidRPr="00964A81">
        <w:rPr>
          <w:rFonts w:ascii="Times New Roman" w:hAnsi="Times New Roman" w:cs="Times New Roman"/>
          <w:b/>
          <w:bCs/>
        </w:rPr>
        <w:tab/>
      </w:r>
      <w:r w:rsidR="00C07C8D" w:rsidRPr="00964A81">
        <w:rPr>
          <w:rFonts w:ascii="Times New Roman" w:hAnsi="Times New Roman" w:cs="Times New Roman"/>
          <w:b/>
          <w:bCs/>
        </w:rPr>
        <w:t>Registration Area vs Tracking Area</w:t>
      </w:r>
    </w:p>
    <w:p w14:paraId="3E55B19C" w14:textId="224DC174" w:rsidR="00963F8A" w:rsidRDefault="00964A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 2 agreements include:</w:t>
      </w:r>
    </w:p>
    <w:p w14:paraId="1C0348F3" w14:textId="45124288" w:rsidR="00964A81" w:rsidRPr="00964A81" w:rsidRDefault="00964A81">
      <w:pPr>
        <w:rPr>
          <w:rFonts w:ascii="Times New Roman" w:hAnsi="Times New Roman" w:cs="Times New Roman"/>
          <w:b/>
          <w:bCs/>
          <w:i/>
          <w:iCs/>
        </w:rPr>
      </w:pPr>
      <w:r w:rsidRPr="00964A81">
        <w:rPr>
          <w:b/>
          <w:bCs/>
          <w:i/>
          <w:iCs/>
        </w:rPr>
        <w:t>R2 assumes that All the cells within the registration area supports the same number of CN assigned subgroups</w:t>
      </w:r>
    </w:p>
    <w:p w14:paraId="1D0B308E" w14:textId="34D7A9AA" w:rsidR="00963F8A" w:rsidRDefault="00780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This agreement seems to overlook the </w:t>
      </w:r>
      <w:r w:rsidR="00170EC4">
        <w:rPr>
          <w:rFonts w:ascii="Times New Roman" w:hAnsi="Times New Roman" w:cs="Times New Roman"/>
        </w:rPr>
        <w:t>fact that the registration area is UE specific and made up of a list of Tracking Areas.</w:t>
      </w:r>
      <w:r w:rsidR="00541564">
        <w:rPr>
          <w:rFonts w:ascii="Times New Roman" w:hAnsi="Times New Roman" w:cs="Times New Roman"/>
        </w:rPr>
        <w:t xml:space="preserve"> Different UEs </w:t>
      </w:r>
      <w:r w:rsidR="00375997">
        <w:rPr>
          <w:rFonts w:ascii="Times New Roman" w:hAnsi="Times New Roman" w:cs="Times New Roman"/>
        </w:rPr>
        <w:t>can</w:t>
      </w:r>
      <w:r w:rsidR="00541564">
        <w:rPr>
          <w:rFonts w:ascii="Times New Roman" w:hAnsi="Times New Roman" w:cs="Times New Roman"/>
        </w:rPr>
        <w:t xml:space="preserve"> have different TAI lists</w:t>
      </w:r>
      <w:r w:rsidR="00375997">
        <w:rPr>
          <w:rFonts w:ascii="Times New Roman" w:hAnsi="Times New Roman" w:cs="Times New Roman"/>
        </w:rPr>
        <w:t xml:space="preserve">. </w:t>
      </w:r>
      <w:r w:rsidR="009408BB">
        <w:rPr>
          <w:rFonts w:ascii="Times New Roman" w:hAnsi="Times New Roman" w:cs="Times New Roman"/>
        </w:rPr>
        <w:t>AMF pool area boundaries</w:t>
      </w:r>
      <w:r w:rsidR="00375997">
        <w:rPr>
          <w:rFonts w:ascii="Times New Roman" w:hAnsi="Times New Roman" w:cs="Times New Roman"/>
        </w:rPr>
        <w:t xml:space="preserve"> </w:t>
      </w:r>
      <w:r w:rsidR="009408BB">
        <w:rPr>
          <w:rFonts w:ascii="Times New Roman" w:hAnsi="Times New Roman" w:cs="Times New Roman"/>
        </w:rPr>
        <w:t>can overlap.</w:t>
      </w:r>
      <w:r w:rsidR="00522241">
        <w:rPr>
          <w:rFonts w:ascii="Times New Roman" w:hAnsi="Times New Roman" w:cs="Times New Roman"/>
        </w:rPr>
        <w:t xml:space="preserve"> Different slices can have AMFs with different functionality levels connected to the same </w:t>
      </w:r>
      <w:proofErr w:type="spellStart"/>
      <w:r w:rsidR="00522241">
        <w:rPr>
          <w:rFonts w:ascii="Times New Roman" w:hAnsi="Times New Roman" w:cs="Times New Roman"/>
        </w:rPr>
        <w:t>gNB</w:t>
      </w:r>
      <w:proofErr w:type="spellEnd"/>
      <w:r w:rsidR="00F90328">
        <w:rPr>
          <w:rFonts w:ascii="Times New Roman" w:hAnsi="Times New Roman" w:cs="Times New Roman"/>
        </w:rPr>
        <w:t>.</w:t>
      </w:r>
    </w:p>
    <w:p w14:paraId="31D3B0CF" w14:textId="3E595486" w:rsidR="009408BB" w:rsidRPr="00D13626" w:rsidRDefault="001C4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the meaning of this RAN 2 agreement?</w:t>
      </w:r>
    </w:p>
    <w:p w14:paraId="5A1720EB" w14:textId="3376EA69" w:rsidR="009323A1" w:rsidRDefault="00FC18F2"/>
    <w:p w14:paraId="03DE9164" w14:textId="5E76C7D2" w:rsidR="005435BD" w:rsidRPr="00BB0901" w:rsidRDefault="00E40100">
      <w:pPr>
        <w:rPr>
          <w:b/>
          <w:bCs/>
        </w:rPr>
      </w:pPr>
      <w:r w:rsidRPr="00BB0901">
        <w:rPr>
          <w:b/>
          <w:bCs/>
        </w:rPr>
        <w:t>2.</w:t>
      </w:r>
      <w:r w:rsidR="00E91BC2">
        <w:rPr>
          <w:b/>
          <w:bCs/>
        </w:rPr>
        <w:t>3</w:t>
      </w:r>
      <w:r w:rsidRPr="00BB0901">
        <w:rPr>
          <w:b/>
          <w:bCs/>
        </w:rPr>
        <w:tab/>
        <w:t>Network Slicing</w:t>
      </w:r>
      <w:r w:rsidR="00BB0901" w:rsidRPr="00BB0901">
        <w:rPr>
          <w:b/>
          <w:bCs/>
        </w:rPr>
        <w:t xml:space="preserve"> -&gt; need common CN </w:t>
      </w:r>
      <w:proofErr w:type="spellStart"/>
      <w:r w:rsidR="00BB0901" w:rsidRPr="00BB0901">
        <w:rPr>
          <w:b/>
          <w:bCs/>
        </w:rPr>
        <w:t>SubGrouping</w:t>
      </w:r>
      <w:proofErr w:type="spellEnd"/>
      <w:r w:rsidR="00BB0901" w:rsidRPr="00BB0901">
        <w:rPr>
          <w:b/>
          <w:bCs/>
        </w:rPr>
        <w:t xml:space="preserve"> across AMFs in ALL slices</w:t>
      </w:r>
    </w:p>
    <w:p w14:paraId="726B68DC" w14:textId="662B1600" w:rsidR="00E40100" w:rsidRDefault="004E578A">
      <w:r>
        <w:t xml:space="preserve">For the CN Subgrouping concept to work, </w:t>
      </w:r>
      <w:r w:rsidR="00E2024D">
        <w:t xml:space="preserve">all </w:t>
      </w:r>
      <w:r w:rsidR="008845C1">
        <w:t xml:space="preserve">the AMFs connected to a </w:t>
      </w:r>
      <w:proofErr w:type="spellStart"/>
      <w:r w:rsidR="008845C1">
        <w:t>gNB</w:t>
      </w:r>
      <w:proofErr w:type="spellEnd"/>
      <w:r w:rsidR="008845C1">
        <w:t xml:space="preserve"> (and </w:t>
      </w:r>
      <w:proofErr w:type="gramStart"/>
      <w:r w:rsidR="008845C1">
        <w:t>actually a</w:t>
      </w:r>
      <w:proofErr w:type="gramEnd"/>
      <w:r w:rsidR="008845C1">
        <w:t xml:space="preserve"> much larger number of </w:t>
      </w:r>
      <w:proofErr w:type="spellStart"/>
      <w:r w:rsidR="008845C1">
        <w:t>gNBs</w:t>
      </w:r>
      <w:proofErr w:type="spellEnd"/>
      <w:r w:rsidR="008845C1">
        <w:t xml:space="preserve">) need to follow a common set of rules in allocating </w:t>
      </w:r>
      <w:r w:rsidR="005C3805">
        <w:t>UEs to CN subgroups.</w:t>
      </w:r>
    </w:p>
    <w:p w14:paraId="1DF7E04F" w14:textId="570584BB" w:rsidR="005C3805" w:rsidRDefault="005C3805">
      <w:r>
        <w:t xml:space="preserve">While historically core network nodes have </w:t>
      </w:r>
      <w:r w:rsidR="00E266A8">
        <w:t>limited variation in software (</w:t>
      </w:r>
      <w:r w:rsidR="00FF1BA9">
        <w:t xml:space="preserve">e.g. </w:t>
      </w:r>
      <w:r w:rsidR="00E266A8">
        <w:t>2 or 3 vendors), the push towards slicing</w:t>
      </w:r>
      <w:r w:rsidR="00E4317F">
        <w:t>,</w:t>
      </w:r>
      <w:r w:rsidR="00FF1BA9">
        <w:t xml:space="preserve"> and the </w:t>
      </w:r>
      <w:r w:rsidR="00E4317F">
        <w:t>support for ‘verticals’ and pr</w:t>
      </w:r>
      <w:r w:rsidR="000E5AEE">
        <w:t xml:space="preserve">ivate networks makes it much more likely that </w:t>
      </w:r>
      <w:r w:rsidR="00AD13C0">
        <w:t xml:space="preserve">in the future </w:t>
      </w:r>
      <w:r w:rsidR="000E5AEE">
        <w:t xml:space="preserve">there will be AMFs with dramatically different </w:t>
      </w:r>
      <w:r w:rsidR="00EE7779">
        <w:t>software / software versions connected to an operator’s RAN</w:t>
      </w:r>
    </w:p>
    <w:p w14:paraId="071BE41A" w14:textId="51E0094F" w:rsidR="00E40100" w:rsidRDefault="00502374" w:rsidP="00AD13C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Proposal 2: </w:t>
      </w:r>
      <w:r w:rsidR="00AD13C0" w:rsidRPr="002B0BDF">
        <w:rPr>
          <w:b/>
          <w:bCs/>
        </w:rPr>
        <w:t>Clear recommendations on how to perform CN su</w:t>
      </w:r>
      <w:r w:rsidR="00CD145D" w:rsidRPr="002B0BDF">
        <w:rPr>
          <w:b/>
          <w:bCs/>
        </w:rPr>
        <w:t>bgrouping are needed</w:t>
      </w:r>
      <w:r w:rsidR="002B0BDF">
        <w:rPr>
          <w:b/>
          <w:bCs/>
        </w:rPr>
        <w:t xml:space="preserve"> in the specifications</w:t>
      </w:r>
      <w:r w:rsidR="00CD145D">
        <w:t>.</w:t>
      </w:r>
    </w:p>
    <w:p w14:paraId="2D9A1B93" w14:textId="22D1C4E3" w:rsidR="00E40100" w:rsidRPr="00C01895" w:rsidRDefault="00502374">
      <w:pPr>
        <w:rPr>
          <w:b/>
          <w:bCs/>
        </w:rPr>
      </w:pPr>
      <w:r w:rsidRPr="00C01895">
        <w:rPr>
          <w:b/>
          <w:bCs/>
        </w:rPr>
        <w:t>2.</w:t>
      </w:r>
      <w:r w:rsidR="00414AE3">
        <w:rPr>
          <w:b/>
          <w:bCs/>
        </w:rPr>
        <w:t>4</w:t>
      </w:r>
      <w:r w:rsidRPr="00C01895">
        <w:rPr>
          <w:b/>
          <w:bCs/>
        </w:rPr>
        <w:tab/>
        <w:t xml:space="preserve">UE </w:t>
      </w:r>
      <w:r w:rsidR="00C01895" w:rsidRPr="00C01895">
        <w:rPr>
          <w:b/>
          <w:bCs/>
        </w:rPr>
        <w:t xml:space="preserve">radio capability for paging obtained from legacy </w:t>
      </w:r>
      <w:proofErr w:type="spellStart"/>
      <w:r w:rsidR="00C01895" w:rsidRPr="00C01895">
        <w:rPr>
          <w:b/>
          <w:bCs/>
        </w:rPr>
        <w:t>gNB</w:t>
      </w:r>
      <w:proofErr w:type="spellEnd"/>
    </w:p>
    <w:p w14:paraId="7FCD4207" w14:textId="778615B1" w:rsidR="00C01895" w:rsidRDefault="00C01895">
      <w:r>
        <w:t xml:space="preserve">The </w:t>
      </w:r>
      <w:r w:rsidR="00283C1E">
        <w:t xml:space="preserve">NG-RAN </w:t>
      </w:r>
      <w:r w:rsidR="002738E8">
        <w:t>/ TS 38.331</w:t>
      </w:r>
      <w:r w:rsidR="0022342A">
        <w:t xml:space="preserve"> /TS 38.413</w:t>
      </w:r>
      <w:r w:rsidR="002738E8">
        <w:t xml:space="preserve"> </w:t>
      </w:r>
      <w:r w:rsidR="00283C1E">
        <w:t xml:space="preserve">does </w:t>
      </w:r>
      <w:r w:rsidR="00414AE3">
        <w:t>not seem to</w:t>
      </w:r>
      <w:r w:rsidR="00283C1E">
        <w:t xml:space="preserve"> handle the paging capability as a ‘transparent container’</w:t>
      </w:r>
      <w:r w:rsidR="00414AE3">
        <w:t xml:space="preserve"> from the UE</w:t>
      </w:r>
      <w:r w:rsidR="00283C1E">
        <w:t xml:space="preserve">. This may cause problems if a PEI-capable UE attaches via a </w:t>
      </w:r>
      <w:r w:rsidR="008C16C2">
        <w:t>pre-release 17 base station.</w:t>
      </w:r>
    </w:p>
    <w:p w14:paraId="68932A9D" w14:textId="137406F0" w:rsidR="008C16C2" w:rsidRPr="002738E8" w:rsidRDefault="008C16C2" w:rsidP="008C16C2">
      <w:pPr>
        <w:pStyle w:val="ListParagraph"/>
        <w:numPr>
          <w:ilvl w:val="0"/>
          <w:numId w:val="2"/>
        </w:numPr>
        <w:rPr>
          <w:b/>
          <w:bCs/>
        </w:rPr>
      </w:pPr>
      <w:r w:rsidRPr="002738E8">
        <w:rPr>
          <w:b/>
          <w:bCs/>
        </w:rPr>
        <w:t xml:space="preserve">Proposal 3: RAN 2 should clarify </w:t>
      </w:r>
      <w:proofErr w:type="gramStart"/>
      <w:r w:rsidRPr="002738E8">
        <w:rPr>
          <w:b/>
          <w:bCs/>
        </w:rPr>
        <w:t>whether or not</w:t>
      </w:r>
      <w:proofErr w:type="gramEnd"/>
      <w:r w:rsidRPr="002738E8">
        <w:rPr>
          <w:b/>
          <w:bCs/>
        </w:rPr>
        <w:t xml:space="preserve"> the </w:t>
      </w:r>
      <w:proofErr w:type="spellStart"/>
      <w:r w:rsidR="002738E8" w:rsidRPr="002738E8">
        <w:rPr>
          <w:b/>
          <w:bCs/>
        </w:rPr>
        <w:t>gNB</w:t>
      </w:r>
      <w:proofErr w:type="spellEnd"/>
      <w:r w:rsidR="002738E8" w:rsidRPr="002738E8">
        <w:rPr>
          <w:b/>
          <w:bCs/>
        </w:rPr>
        <w:t xml:space="preserve"> needs to know whether the UE supports PEI.</w:t>
      </w:r>
    </w:p>
    <w:p w14:paraId="23C0CCCA" w14:textId="6B6BD6AC" w:rsidR="00C01895" w:rsidRDefault="00C01895"/>
    <w:p w14:paraId="23177541" w14:textId="5FF099CF" w:rsidR="0012325E" w:rsidRDefault="0012325E" w:rsidP="0012325E">
      <w:pPr>
        <w:pStyle w:val="Heading1"/>
      </w:pPr>
      <w:r>
        <w:t>3</w:t>
      </w:r>
      <w:r>
        <w:tab/>
        <w:t>Summary</w:t>
      </w:r>
    </w:p>
    <w:p w14:paraId="72CCE719" w14:textId="4F0B8EFA" w:rsidR="0012325E" w:rsidRDefault="0012325E">
      <w:r>
        <w:t>SA 2 should consider the above proposals b</w:t>
      </w:r>
      <w:r w:rsidR="00382D44">
        <w:t>efore responding to the incoming LS and agreeing to CRs.</w:t>
      </w:r>
    </w:p>
    <w:sectPr w:rsidR="001232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83327" w14:textId="77777777" w:rsidR="000D1A3D" w:rsidRDefault="000D1A3D" w:rsidP="005435BD">
      <w:pPr>
        <w:spacing w:after="0" w:line="240" w:lineRule="auto"/>
      </w:pPr>
      <w:r>
        <w:separator/>
      </w:r>
    </w:p>
  </w:endnote>
  <w:endnote w:type="continuationSeparator" w:id="0">
    <w:p w14:paraId="21E5F176" w14:textId="77777777" w:rsidR="000D1A3D" w:rsidRDefault="000D1A3D" w:rsidP="00543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0CEDA" w14:textId="77777777" w:rsidR="005435BD" w:rsidRDefault="005435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7C0AA" w14:textId="4B1C4C38" w:rsidR="005435BD" w:rsidRDefault="005435B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A4CF79" wp14:editId="382EBCC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514441ddbe9416b5346a308d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3B0A4D" w14:textId="2132C338" w:rsidR="005435BD" w:rsidRPr="005435BD" w:rsidRDefault="005435BD" w:rsidP="005435B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4CF79" id="_x0000_t202" coordsize="21600,21600" o:spt="202" path="m,l,21600r21600,l21600,xe">
              <v:stroke joinstyle="miter"/>
              <v:path gradientshapeok="t" o:connecttype="rect"/>
            </v:shapetype>
            <v:shape id="MSIPCM514441ddbe9416b5346a308d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" o:allowincell="f" filled="f" stroked="f" strokeweight=".5pt">
              <v:textbox inset="20pt,0,,0">
                <w:txbxContent>
                  <w:p w14:paraId="533B0A4D" w14:textId="2132C338" w:rsidR="005435BD" w:rsidRPr="005435BD" w:rsidRDefault="005435BD" w:rsidP="005435B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F4133" w14:textId="77777777" w:rsidR="005435BD" w:rsidRDefault="005435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D3CBC" w14:textId="77777777" w:rsidR="000D1A3D" w:rsidRDefault="000D1A3D" w:rsidP="005435BD">
      <w:pPr>
        <w:spacing w:after="0" w:line="240" w:lineRule="auto"/>
      </w:pPr>
      <w:r>
        <w:separator/>
      </w:r>
    </w:p>
  </w:footnote>
  <w:footnote w:type="continuationSeparator" w:id="0">
    <w:p w14:paraId="02025749" w14:textId="77777777" w:rsidR="000D1A3D" w:rsidRDefault="000D1A3D" w:rsidP="00543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5AD98" w14:textId="77777777" w:rsidR="005435BD" w:rsidRDefault="005435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91BC" w14:textId="77777777" w:rsidR="005435BD" w:rsidRDefault="005435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4C03B" w14:textId="77777777" w:rsidR="005435BD" w:rsidRDefault="005435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0078CD"/>
    <w:multiLevelType w:val="hybridMultilevel"/>
    <w:tmpl w:val="1FDC8A08"/>
    <w:lvl w:ilvl="0" w:tplc="0D7CC760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692B63"/>
    <w:multiLevelType w:val="hybridMultilevel"/>
    <w:tmpl w:val="9B9A01E6"/>
    <w:lvl w:ilvl="0" w:tplc="0306394C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1"/>
        </w:tabs>
        <w:ind w:left="59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1"/>
        </w:tabs>
        <w:ind w:left="66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1"/>
        </w:tabs>
        <w:ind w:left="73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5BD"/>
    <w:rsid w:val="00012EDD"/>
    <w:rsid w:val="0006277F"/>
    <w:rsid w:val="00094E0C"/>
    <w:rsid w:val="000B2447"/>
    <w:rsid w:val="000D1A3D"/>
    <w:rsid w:val="000E5AEE"/>
    <w:rsid w:val="0012325E"/>
    <w:rsid w:val="00140F0E"/>
    <w:rsid w:val="00164885"/>
    <w:rsid w:val="00170EC4"/>
    <w:rsid w:val="001C42D0"/>
    <w:rsid w:val="001D2925"/>
    <w:rsid w:val="00204C03"/>
    <w:rsid w:val="0022342A"/>
    <w:rsid w:val="00242852"/>
    <w:rsid w:val="002738E8"/>
    <w:rsid w:val="00283C1E"/>
    <w:rsid w:val="002A476C"/>
    <w:rsid w:val="002B0BDF"/>
    <w:rsid w:val="002B50B3"/>
    <w:rsid w:val="00375997"/>
    <w:rsid w:val="00382D44"/>
    <w:rsid w:val="00382DF8"/>
    <w:rsid w:val="00383BD4"/>
    <w:rsid w:val="00414AE3"/>
    <w:rsid w:val="004E1A3A"/>
    <w:rsid w:val="004E578A"/>
    <w:rsid w:val="00502374"/>
    <w:rsid w:val="00506C52"/>
    <w:rsid w:val="00517941"/>
    <w:rsid w:val="00522241"/>
    <w:rsid w:val="00541564"/>
    <w:rsid w:val="005435BD"/>
    <w:rsid w:val="00564A04"/>
    <w:rsid w:val="005C3805"/>
    <w:rsid w:val="00703E44"/>
    <w:rsid w:val="00710EA2"/>
    <w:rsid w:val="00726AD1"/>
    <w:rsid w:val="007800EC"/>
    <w:rsid w:val="007A1EDC"/>
    <w:rsid w:val="007E53BB"/>
    <w:rsid w:val="007F554C"/>
    <w:rsid w:val="008845C1"/>
    <w:rsid w:val="008B4DDA"/>
    <w:rsid w:val="008C16C2"/>
    <w:rsid w:val="008C6365"/>
    <w:rsid w:val="008E301A"/>
    <w:rsid w:val="009408BB"/>
    <w:rsid w:val="00963F8A"/>
    <w:rsid w:val="00964A81"/>
    <w:rsid w:val="00972FC2"/>
    <w:rsid w:val="00973EAF"/>
    <w:rsid w:val="00A4467B"/>
    <w:rsid w:val="00A95E25"/>
    <w:rsid w:val="00AC65A6"/>
    <w:rsid w:val="00AD13C0"/>
    <w:rsid w:val="00AD1CD4"/>
    <w:rsid w:val="00AF22ED"/>
    <w:rsid w:val="00B20215"/>
    <w:rsid w:val="00B5262B"/>
    <w:rsid w:val="00BB0901"/>
    <w:rsid w:val="00BE31A3"/>
    <w:rsid w:val="00C01895"/>
    <w:rsid w:val="00C07C8D"/>
    <w:rsid w:val="00C11165"/>
    <w:rsid w:val="00C57F2B"/>
    <w:rsid w:val="00C805A0"/>
    <w:rsid w:val="00C86450"/>
    <w:rsid w:val="00CD145D"/>
    <w:rsid w:val="00CE2231"/>
    <w:rsid w:val="00CF76EA"/>
    <w:rsid w:val="00D13626"/>
    <w:rsid w:val="00D62F97"/>
    <w:rsid w:val="00DB248B"/>
    <w:rsid w:val="00DC275A"/>
    <w:rsid w:val="00DE21D2"/>
    <w:rsid w:val="00E2024D"/>
    <w:rsid w:val="00E266A8"/>
    <w:rsid w:val="00E349DE"/>
    <w:rsid w:val="00E40100"/>
    <w:rsid w:val="00E4317F"/>
    <w:rsid w:val="00E91BC2"/>
    <w:rsid w:val="00EE7779"/>
    <w:rsid w:val="00F90328"/>
    <w:rsid w:val="00FF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FBE03F"/>
  <w15:chartTrackingRefBased/>
  <w15:docId w15:val="{405E580E-598C-41E8-AEBE-302475996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03E4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02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35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35BD"/>
  </w:style>
  <w:style w:type="paragraph" w:styleId="Footer">
    <w:name w:val="footer"/>
    <w:basedOn w:val="Normal"/>
    <w:link w:val="FooterChar"/>
    <w:uiPriority w:val="99"/>
    <w:unhideWhenUsed/>
    <w:rsid w:val="005435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35BD"/>
  </w:style>
  <w:style w:type="paragraph" w:customStyle="1" w:styleId="Agreement">
    <w:name w:val="Agreement"/>
    <w:basedOn w:val="Normal"/>
    <w:next w:val="Normal"/>
    <w:uiPriority w:val="99"/>
    <w:qFormat/>
    <w:rsid w:val="000B2447"/>
    <w:pPr>
      <w:numPr>
        <w:numId w:val="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703E44"/>
    <w:rPr>
      <w:rFonts w:ascii="Arial" w:eastAsia="Times New Roman" w:hAnsi="Arial" w:cs="Times New Roman"/>
      <w:sz w:val="36"/>
      <w:szCs w:val="20"/>
    </w:rPr>
  </w:style>
  <w:style w:type="paragraph" w:customStyle="1" w:styleId="CRCoverPage">
    <w:name w:val="CR Cover Page"/>
    <w:rsid w:val="00703E44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D13C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2021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1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</dc:creator>
  <cp:keywords/>
  <dc:description/>
  <cp:lastModifiedBy>Pudney, Chris, Vodafone</cp:lastModifiedBy>
  <cp:revision>2</cp:revision>
  <dcterms:created xsi:type="dcterms:W3CDTF">2021-10-11T20:20:00Z</dcterms:created>
  <dcterms:modified xsi:type="dcterms:W3CDTF">2021-10-11T20:20:00Z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2021-10-11T19:45:27Z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eb2a6cbc-c837-4f44-bbb6-97ba252527cc</vt:lpwstr>
  </property>
  <property fmtid="{D5CDD505-2E9C-101B-9397-08002B2CF9AE}" pid="8" name="MSIP_Label_17da11e7-ad83-4459-98c6-12a88e2eac78_ContentBits">
    <vt:lpwstr>0</vt:lpwstr>
  </property>
</Properties>
</file>